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D9036" w14:textId="50B8F99A" w:rsidR="003C179F" w:rsidRDefault="003C179F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>VISIT OF BUSINESS DELEGATION LED BY FIEO TO VIETNAM DURING 28 FEB – 03 MARCH 2023</w:t>
      </w:r>
    </w:p>
    <w:p w14:paraId="634C6C60" w14:textId="77777777" w:rsidR="003C179F" w:rsidRDefault="003C179F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</w:p>
    <w:p w14:paraId="17929F2E" w14:textId="77777777" w:rsidR="003C179F" w:rsidRDefault="003C179F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</w:p>
    <w:p w14:paraId="66AB79A8" w14:textId="53A261E6" w:rsidR="007C6884" w:rsidRDefault="00273DA2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 xml:space="preserve">INDIA VIETNAM BUSINESS MEET ON 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>AGRI</w:t>
      </w: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 xml:space="preserve"> SECTOR</w:t>
      </w:r>
    </w:p>
    <w:p w14:paraId="1D79B667" w14:textId="3AF53AB6" w:rsidR="007C6884" w:rsidRDefault="004E7A7D">
      <w:pPr>
        <w:spacing w:after="0" w:line="240" w:lineRule="auto"/>
        <w:jc w:val="center"/>
      </w:pPr>
      <w:r>
        <w:rPr>
          <w:rFonts w:ascii="Georgia" w:eastAsia="Georgia" w:hAnsi="Georgia" w:cs="Georgia"/>
          <w:b/>
          <w:bCs/>
          <w:color w:val="0D0D0D"/>
          <w:sz w:val="28"/>
          <w:szCs w:val="28"/>
          <w:lang w:val="en-GB"/>
        </w:rPr>
        <w:t xml:space="preserve"> 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16.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3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0 – 1</w:t>
      </w:r>
      <w:r w:rsidR="00E66916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9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.</w:t>
      </w:r>
      <w:r w:rsidR="003E01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3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0</w:t>
      </w: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 xml:space="preserve"> on 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28</w:t>
      </w:r>
      <w:r w:rsidR="003C179F" w:rsidRP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vertAlign w:val="superscript"/>
          <w:lang w:val="en-GB"/>
        </w:rPr>
        <w:t>TH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 xml:space="preserve"> February 2023</w:t>
      </w:r>
    </w:p>
    <w:p w14:paraId="61575CEA" w14:textId="77777777" w:rsidR="007C6884" w:rsidRDefault="007C6884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D0D0D"/>
          <w:sz w:val="28"/>
          <w:szCs w:val="28"/>
          <w:u w:val="single"/>
          <w:lang w:val="en-GB"/>
        </w:rPr>
      </w:pPr>
    </w:p>
    <w:p w14:paraId="6F94727E" w14:textId="77777777" w:rsidR="007C6884" w:rsidRDefault="004E7A7D">
      <w:pPr>
        <w:spacing w:after="0" w:line="240" w:lineRule="auto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</w:pP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Tentative Programme</w:t>
      </w:r>
    </w:p>
    <w:p w14:paraId="2CF944C9" w14:textId="0C56EA69" w:rsidR="007C6884" w:rsidRDefault="007C6884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D0D0D"/>
          <w:sz w:val="28"/>
          <w:szCs w:val="28"/>
          <w:u w:val="single"/>
          <w:lang w:val="en-GB"/>
        </w:rPr>
      </w:pPr>
    </w:p>
    <w:p w14:paraId="7D6B6720" w14:textId="775BF183" w:rsidR="00B4727A" w:rsidRDefault="00B4727A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D0D0D"/>
          <w:sz w:val="28"/>
          <w:szCs w:val="28"/>
          <w:u w:val="single"/>
          <w:lang w:val="en-GB"/>
        </w:rPr>
      </w:pPr>
    </w:p>
    <w:tbl>
      <w:tblPr>
        <w:tblW w:w="10275" w:type="dxa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927"/>
        <w:gridCol w:w="1573"/>
        <w:gridCol w:w="5775"/>
      </w:tblGrid>
      <w:tr w:rsidR="007C6884" w:rsidRPr="00E66916" w14:paraId="031D5E10" w14:textId="77777777" w:rsidTr="004C5CC0"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88" w:type="dxa"/>
            </w:tcMar>
          </w:tcPr>
          <w:p w14:paraId="71D093FB" w14:textId="77777777" w:rsidR="007C6884" w:rsidRPr="00E66916" w:rsidRDefault="004E7A7D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 w:rsidRPr="00E66916"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 xml:space="preserve">Schedule 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88" w:type="dxa"/>
            </w:tcMar>
          </w:tcPr>
          <w:p w14:paraId="69C9F087" w14:textId="37A9B63E" w:rsidR="007C6884" w:rsidRPr="00E66916" w:rsidRDefault="003C179F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>Activities</w:t>
            </w:r>
            <w:r w:rsidR="004E7A7D" w:rsidRPr="00E66916"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  <w:tr w:rsidR="007C6884" w14:paraId="36525F2D" w14:textId="77777777" w:rsidTr="004C5CC0">
        <w:trPr>
          <w:trHeight w:val="405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B37795" w14:textId="224DB51D" w:rsidR="007C6884" w:rsidRDefault="003601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16.00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-16.30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BD9D8F" w14:textId="49766B0E" w:rsidR="007C6884" w:rsidRDefault="004E7A7D">
            <w:pPr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Registration</w:t>
            </w:r>
          </w:p>
        </w:tc>
      </w:tr>
      <w:tr w:rsidR="007C6884" w14:paraId="2FA0887C" w14:textId="77777777">
        <w:trPr>
          <w:trHeight w:val="152"/>
        </w:trPr>
        <w:tc>
          <w:tcPr>
            <w:tcW w:w="10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11A0E3A" w14:textId="77777777" w:rsidR="007C6884" w:rsidRDefault="004E7A7D">
            <w:pPr>
              <w:spacing w:after="0" w:line="240" w:lineRule="auto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>Inaugural Session</w:t>
            </w:r>
          </w:p>
        </w:tc>
      </w:tr>
      <w:tr w:rsidR="007C6884" w14:paraId="3A6D306E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EB1075" w14:textId="0DCD9252" w:rsidR="007C6884" w:rsidRDefault="0036012C">
            <w:pPr>
              <w:snapToGrid w:val="0"/>
              <w:spacing w:after="0" w:line="240" w:lineRule="auto"/>
              <w:rPr>
                <w:rFonts w:ascii="Georgia" w:hAnsi="Georgia" w:cs="Book Antiqua"/>
                <w:sz w:val="28"/>
                <w:szCs w:val="28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3</w:t>
            </w:r>
            <w:r>
              <w:rPr>
                <w:rFonts w:ascii="Georgia" w:hAnsi="Georgia" w:cs="Book Antiqua"/>
                <w:sz w:val="24"/>
                <w:szCs w:val="24"/>
              </w:rPr>
              <w:t>0-16.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3</w:t>
            </w:r>
            <w:r>
              <w:rPr>
                <w:rFonts w:ascii="Georgia" w:hAnsi="Georgia" w:cs="Book Antiqua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AE3460D" w14:textId="77777777" w:rsidR="007C6884" w:rsidRDefault="004E7A7D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Welcome Address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6694F4" w14:textId="2F023C42" w:rsidR="007C6884" w:rsidRDefault="003C179F" w:rsidP="00076EEB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8"/>
                <w:szCs w:val="28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Embassy of India</w:t>
            </w:r>
          </w:p>
        </w:tc>
      </w:tr>
      <w:tr w:rsidR="007C6884" w14:paraId="40430647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CA9B9C" w14:textId="281E5474" w:rsidR="007C6884" w:rsidRDefault="003601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3</w:t>
            </w:r>
            <w:r>
              <w:rPr>
                <w:rFonts w:ascii="Georgia" w:hAnsi="Georgia" w:cs="Book Antiqua"/>
                <w:sz w:val="24"/>
                <w:szCs w:val="24"/>
              </w:rPr>
              <w:t>5-16.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40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FC06147" w14:textId="703A5F56" w:rsidR="007C6884" w:rsidRDefault="004E7A7D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 xml:space="preserve">Address </w:t>
            </w:r>
            <w:r w:rsidR="004C5CC0"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8F1C71" w14:textId="03CE8D1E" w:rsidR="007C6884" w:rsidRDefault="00C64C83" w:rsidP="00B95B06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Vice Chairman of Vietnam Chamber of Commerce and Industry</w:t>
            </w:r>
          </w:p>
        </w:tc>
      </w:tr>
      <w:tr w:rsidR="007C6884" w14:paraId="6DB704A8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9196D2" w14:textId="711680FA" w:rsidR="007C6884" w:rsidRDefault="003601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4</w:t>
            </w:r>
            <w:r>
              <w:rPr>
                <w:rFonts w:ascii="Georgia" w:hAnsi="Georgia" w:cs="Book Antiqua"/>
                <w:sz w:val="24"/>
                <w:szCs w:val="24"/>
              </w:rPr>
              <w:t>0-16.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4</w:t>
            </w:r>
            <w:r w:rsidR="00E70363">
              <w:rPr>
                <w:rFonts w:ascii="Georgia" w:hAnsi="Georgia" w:cs="Book Antiqua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53CF88" w14:textId="36A020DB" w:rsidR="007C6884" w:rsidRDefault="00E70363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Address</w:t>
            </w:r>
            <w:r w:rsidR="004C5CC0"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 xml:space="preserve">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4D54B1" w14:textId="1CD928E2" w:rsidR="007C6884" w:rsidRDefault="003C179F" w:rsidP="00B95B06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FIEO delegation</w:t>
            </w:r>
          </w:p>
        </w:tc>
      </w:tr>
      <w:tr w:rsidR="00AD13D9" w14:paraId="607B736A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194688A" w14:textId="3600E28D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16.45-16.50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57B3ED0" w14:textId="69C98F93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Address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2592BE" w14:textId="6991234F" w:rsidR="00AD13D9" w:rsidRDefault="00AD13D9" w:rsidP="00AD13D9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Vietnam Trade Promotion Agency</w:t>
            </w:r>
          </w:p>
        </w:tc>
      </w:tr>
      <w:tr w:rsidR="00AD13D9" w14:paraId="59877350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547B9A" w14:textId="5A93C10F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16.50-17.05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716A134" w14:textId="2970A23A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A333510" w14:textId="39CC27DA" w:rsidR="00AD13D9" w:rsidRPr="00D6766E" w:rsidRDefault="00AD13D9" w:rsidP="00AD13D9">
            <w:pPr>
              <w:suppressAutoHyphens w:val="0"/>
              <w:spacing w:after="0" w:line="240" w:lineRule="auto"/>
              <w:jc w:val="both"/>
              <w:rPr>
                <w:rFonts w:ascii="Cambria" w:hAnsi="Cambr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Plant Protection Department on Vietnam regulation on import control of agro commodities (Phytosanitary and Food safety)</w:t>
            </w:r>
          </w:p>
        </w:tc>
      </w:tr>
      <w:tr w:rsidR="00AD13D9" w14:paraId="1A856EBD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7516373" w14:textId="2B4C8D67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17.00-17.15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610487" w14:textId="1DF0A0A7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F76909" w14:textId="445E7930" w:rsidR="00AD13D9" w:rsidRPr="006B5DC2" w:rsidRDefault="00AD13D9" w:rsidP="00AD13D9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Department of Animal Health regulation on import control of foodstuff of animal origin</w:t>
            </w:r>
          </w:p>
        </w:tc>
      </w:tr>
      <w:tr w:rsidR="00AD13D9" w14:paraId="78ED495E" w14:textId="77777777" w:rsidTr="00117F24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48FBA4" w14:textId="00DE48DE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17.15-17.25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EA7D3F" w14:textId="1CB5097B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D3BC57" w14:textId="77777777" w:rsidR="00AD13D9" w:rsidRDefault="00AD13D9" w:rsidP="00AD13D9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Vietnam Association of Animal Husbandry</w:t>
            </w:r>
          </w:p>
        </w:tc>
      </w:tr>
      <w:tr w:rsidR="00AD13D9" w14:paraId="6C574150" w14:textId="77777777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E4586F6" w14:textId="6DA1C65E" w:rsidR="00AD13D9" w:rsidRDefault="00AD13D9" w:rsidP="00AD13D9">
            <w:pPr>
              <w:spacing w:after="0" w:line="240" w:lineRule="auto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>Buyer Seller Meet between companies</w:t>
            </w:r>
          </w:p>
        </w:tc>
      </w:tr>
      <w:tr w:rsidR="00AD13D9" w14:paraId="2392B32A" w14:textId="77777777" w:rsidTr="00273DA2">
        <w:trPr>
          <w:trHeight w:val="885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DB6C61" w14:textId="5CAAC738" w:rsidR="00AD13D9" w:rsidRDefault="00AD13D9" w:rsidP="00AD13D9">
            <w:pPr>
              <w:spacing w:line="240" w:lineRule="auto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17.25-18.30</w:t>
            </w:r>
            <w:r>
              <w:rPr>
                <w:rFonts w:ascii="Georgia" w:eastAsia="Georgia" w:hAnsi="Georgia" w:cs="Georgia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DD9B21B" w14:textId="1665641C" w:rsidR="00AD13D9" w:rsidRDefault="00AD13D9" w:rsidP="00AD13D9">
            <w:pPr>
              <w:pStyle w:val="ListParagraph"/>
              <w:spacing w:after="0" w:line="240" w:lineRule="auto"/>
              <w:ind w:left="0"/>
              <w:jc w:val="both"/>
              <w:rPr>
                <w:rFonts w:ascii="Georgia" w:hAnsi="Georgia" w:cs="Book Antiqua"/>
                <w:bCs/>
                <w:color w:val="0D0D0D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Cs/>
                <w:color w:val="0D0D0D"/>
                <w:sz w:val="24"/>
                <w:szCs w:val="24"/>
              </w:rPr>
              <w:t>B2B interaction between participating Indian and Vietnamese companies.</w:t>
            </w:r>
          </w:p>
        </w:tc>
      </w:tr>
      <w:tr w:rsidR="00AD13D9" w14:paraId="336A78EE" w14:textId="77777777" w:rsidTr="004C5CC0"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48FA65" w14:textId="3DE5659D" w:rsidR="00AD13D9" w:rsidRDefault="00AD13D9" w:rsidP="00AD13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</w:rPr>
              <w:t>18.30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6BAB2CF" w14:textId="5EF5C689" w:rsidR="00AD13D9" w:rsidRPr="004C5CC0" w:rsidRDefault="00AD13D9" w:rsidP="00AD13D9">
            <w:pPr>
              <w:spacing w:after="0" w:line="240" w:lineRule="auto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Closing of the Event</w:t>
            </w:r>
          </w:p>
        </w:tc>
      </w:tr>
    </w:tbl>
    <w:p w14:paraId="16AE121D" w14:textId="77777777" w:rsidR="007C6884" w:rsidRDefault="007C6884">
      <w:pPr>
        <w:spacing w:line="240" w:lineRule="auto"/>
      </w:pPr>
    </w:p>
    <w:sectPr w:rsidR="007C6884" w:rsidSect="00B4727A">
      <w:headerReference w:type="default" r:id="rId7"/>
      <w:pgSz w:w="12240" w:h="15840"/>
      <w:pgMar w:top="1276" w:right="1080" w:bottom="810" w:left="1440" w:header="465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C558" w14:textId="77777777" w:rsidR="00F627A5" w:rsidRDefault="00F627A5">
      <w:pPr>
        <w:spacing w:after="0" w:line="240" w:lineRule="auto"/>
      </w:pPr>
      <w:r>
        <w:separator/>
      </w:r>
    </w:p>
  </w:endnote>
  <w:endnote w:type="continuationSeparator" w:id="0">
    <w:p w14:paraId="78AAB1F0" w14:textId="77777777" w:rsidR="00F627A5" w:rsidRDefault="00F6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;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Source Han Sans CN Regular;Time">
    <w:panose1 w:val="00000000000000000000"/>
    <w:charset w:val="00"/>
    <w:family w:val="roman"/>
    <w:notTrueType/>
    <w:pitch w:val="default"/>
  </w:font>
  <w:font w:name="Lohit Devanagari;Calib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7453" w14:textId="77777777" w:rsidR="00F627A5" w:rsidRDefault="00F627A5">
      <w:pPr>
        <w:spacing w:after="0" w:line="240" w:lineRule="auto"/>
      </w:pPr>
      <w:r>
        <w:separator/>
      </w:r>
    </w:p>
  </w:footnote>
  <w:footnote w:type="continuationSeparator" w:id="0">
    <w:p w14:paraId="78B4C15A" w14:textId="77777777" w:rsidR="00F627A5" w:rsidRDefault="00F6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14FD" w14:textId="77777777" w:rsidR="007C6884" w:rsidRDefault="007C68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727"/>
    <w:multiLevelType w:val="multilevel"/>
    <w:tmpl w:val="14EE4B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214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84"/>
    <w:rsid w:val="0005422B"/>
    <w:rsid w:val="00076EEB"/>
    <w:rsid w:val="00145252"/>
    <w:rsid w:val="00252E05"/>
    <w:rsid w:val="00273DA2"/>
    <w:rsid w:val="002A7299"/>
    <w:rsid w:val="002F6DC4"/>
    <w:rsid w:val="00305635"/>
    <w:rsid w:val="00347EBC"/>
    <w:rsid w:val="0036012C"/>
    <w:rsid w:val="00390B18"/>
    <w:rsid w:val="00397CD2"/>
    <w:rsid w:val="003A4437"/>
    <w:rsid w:val="003C179F"/>
    <w:rsid w:val="003E019F"/>
    <w:rsid w:val="004522C4"/>
    <w:rsid w:val="004C5CC0"/>
    <w:rsid w:val="004E7A7D"/>
    <w:rsid w:val="00514771"/>
    <w:rsid w:val="0055549A"/>
    <w:rsid w:val="006B5DC2"/>
    <w:rsid w:val="00791732"/>
    <w:rsid w:val="007C6884"/>
    <w:rsid w:val="00872EE1"/>
    <w:rsid w:val="009612F8"/>
    <w:rsid w:val="00A2115B"/>
    <w:rsid w:val="00A3722A"/>
    <w:rsid w:val="00A645B6"/>
    <w:rsid w:val="00A917ED"/>
    <w:rsid w:val="00AD13D9"/>
    <w:rsid w:val="00B27684"/>
    <w:rsid w:val="00B45E3D"/>
    <w:rsid w:val="00B4727A"/>
    <w:rsid w:val="00B95B06"/>
    <w:rsid w:val="00BF7512"/>
    <w:rsid w:val="00C21274"/>
    <w:rsid w:val="00C37CF9"/>
    <w:rsid w:val="00C64C83"/>
    <w:rsid w:val="00C67885"/>
    <w:rsid w:val="00CF6ADD"/>
    <w:rsid w:val="00D6766E"/>
    <w:rsid w:val="00D955DA"/>
    <w:rsid w:val="00E25CB3"/>
    <w:rsid w:val="00E266F2"/>
    <w:rsid w:val="00E66916"/>
    <w:rsid w:val="00E70363"/>
    <w:rsid w:val="00F32A44"/>
    <w:rsid w:val="00F36CE7"/>
    <w:rsid w:val="00F627A5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6659"/>
  <w15:docId w15:val="{E4F71658-1DD9-4789-85BB-4429746B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;Times New Roman" w:hAnsi="Calibri" w:cs=";Times New Roman"/>
      <w:color w:val="00000A"/>
      <w:sz w:val="22"/>
      <w:szCs w:val="22"/>
      <w:lang w:bidi="ar-SA"/>
    </w:rPr>
  </w:style>
  <w:style w:type="paragraph" w:styleId="Heading1">
    <w:name w:val="heading 1"/>
    <w:basedOn w:val="Normal"/>
    <w:uiPriority w:val="9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3z0">
    <w:name w:val="WW8Num3z0"/>
    <w:qFormat/>
    <w:rPr>
      <w:rFonts w:ascii="Tahoma" w:hAnsi="Tahoma" w:cs="Tahoma"/>
      <w:color w:val="000000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DefaultParagraphFont">
    <w:name w:val="WW-Default Paragraph Fon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b/>
      <w:color w:val="00000A"/>
      <w:sz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eastAsia="Times New Roman"/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ahoma" w:eastAsia="Times New Roman" w:hAnsi="Tahoma" w:cs="Tahoma"/>
      <w:b/>
      <w:color w:val="00000A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eastAsia="Times New Roman"/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Times New Roman"/>
      <w:color w:val="00000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  <w:b/>
      <w:color w:val="00000A"/>
      <w:sz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b/>
      <w:color w:val="00000A"/>
      <w:sz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ahoma" w:hAnsi="Tahoma" w:cs="Tahoma"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hAnsi="Wingdings" w:cs="Wingdings"/>
      <w:b/>
      <w:color w:val="00000A"/>
      <w:sz w:val="24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ahoma" w:hAnsi="Tahoma" w:cs="Tahoma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erChar">
    <w:name w:val="Header Char"/>
    <w:basedOn w:val="WW-DefaultParagraphFont11"/>
    <w:qFormat/>
  </w:style>
  <w:style w:type="character" w:customStyle="1" w:styleId="FooterChar">
    <w:name w:val="Footer Char"/>
    <w:basedOn w:val="WW-DefaultParagraphFont11"/>
    <w:qFormat/>
  </w:style>
  <w:style w:type="character" w:customStyle="1" w:styleId="ListLabel1">
    <w:name w:val="ListLabel 1"/>
    <w:qFormat/>
    <w:rPr>
      <w:rFonts w:ascii="Bookman Old Style" w:hAnsi="Bookman Old Style" w:cs="Bookman Old Style"/>
      <w:b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Source Han Sans CN Regular;Time" w:hAnsi="Liberation Sans;Arial" w:cs="Lohit Devanagari;Calib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;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;Calib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APEDA</dc:creator>
  <dc:description/>
  <cp:lastModifiedBy>PUB WING</cp:lastModifiedBy>
  <cp:revision>4</cp:revision>
  <cp:lastPrinted>2023-02-16T07:35:00Z</cp:lastPrinted>
  <dcterms:created xsi:type="dcterms:W3CDTF">2023-02-10T09:47:00Z</dcterms:created>
  <dcterms:modified xsi:type="dcterms:W3CDTF">2023-02-16T07:35:00Z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