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03" w:rsidRDefault="00970903" w:rsidP="0097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03">
        <w:rPr>
          <w:rFonts w:ascii="Times New Roman" w:hAnsi="Times New Roman" w:cs="Times New Roman"/>
          <w:b/>
          <w:sz w:val="24"/>
          <w:szCs w:val="24"/>
        </w:rPr>
        <w:t>LIST OF COMCE DELEGATES</w:t>
      </w:r>
    </w:p>
    <w:p w:rsidR="00970903" w:rsidRPr="00970903" w:rsidRDefault="00970903" w:rsidP="00970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10"/>
        <w:tblW w:w="132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09"/>
        <w:gridCol w:w="1076"/>
        <w:gridCol w:w="1417"/>
        <w:gridCol w:w="1701"/>
        <w:gridCol w:w="2552"/>
        <w:gridCol w:w="3362"/>
        <w:gridCol w:w="1547"/>
      </w:tblGrid>
      <w:tr w:rsidR="00430093" w:rsidRPr="00430093" w:rsidTr="00430093">
        <w:trPr>
          <w:trHeight w:val="7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TITLE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LAST NAME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COMPANY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9D08E"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WEBSITE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BUSINESS LINE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</w:tcPr>
          <w:p w:rsidR="00970903" w:rsidRPr="00430093" w:rsidRDefault="00970903" w:rsidP="00970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4300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</w:rPr>
              <w:t>REQUIREMENT FOR VIETNAM</w:t>
            </w:r>
          </w:p>
        </w:tc>
      </w:tr>
      <w:tr w:rsidR="00430093" w:rsidRPr="00430093" w:rsidTr="00430093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Amb.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Sergio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Chairman, Asia Pacific Business 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COMCE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4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www.comce.org.mx</w:t>
              </w:r>
            </w:hyperlink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182A4A" w:rsidP="00182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COMCE là một tổ chức phi lợi nhuận tư nhân đại diện cho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doanh nghiệp</w:t>
            </w: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Mexico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trên thị trường</w:t>
            </w: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quốc tế.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0903" w:rsidRPr="00430093" w:rsidRDefault="00182A4A" w:rsidP="00182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Gặp gỡ với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các đối tác tìm cơ hội hợp tác kinh doanh</w:t>
            </w:r>
          </w:p>
        </w:tc>
      </w:tr>
      <w:tr w:rsidR="00430093" w:rsidRPr="00430093" w:rsidTr="00430093">
        <w:trPr>
          <w:trHeight w:val="67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Mr.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Agustin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Director, Asia Pacific Business Section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COMCE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5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www.comce.org.mx</w:t>
              </w:r>
            </w:hyperlink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182A4A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COMCE là một tổ chức phi lợi nhuận tư nhân đại diện cho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doanh nghiệp</w:t>
            </w: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Mexico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trên thị trường</w:t>
            </w: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quốc tế.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0903" w:rsidRPr="00430093" w:rsidRDefault="00182A4A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Gặp gỡ với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các đối tác tìm cơ hội hợp tác kinh doanh</w:t>
            </w:r>
          </w:p>
        </w:tc>
      </w:tr>
      <w:tr w:rsidR="00430093" w:rsidRPr="00430093" w:rsidTr="00430093">
        <w:trPr>
          <w:trHeight w:val="5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Mr.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Stephane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Michel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VP, SA Business Committee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COMCE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6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www.comce.org.mx</w:t>
              </w:r>
            </w:hyperlink>
            <w:r w:rsidR="00430093"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7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www.miderainternational.com</w:t>
              </w:r>
            </w:hyperlink>
            <w:r w:rsidR="00430093"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182A4A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COMCE là một tổ chức phi lợi nhuận tư nhân đại diện cho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doanh nghiệp</w:t>
            </w: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Mexico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trên thị trường</w:t>
            </w: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quốc tế.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0903" w:rsidRPr="00430093" w:rsidRDefault="00182A4A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182A4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Gặp gỡ với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các đối tác tìm cơ hội hợp tác kinh doanh</w:t>
            </w:r>
          </w:p>
        </w:tc>
      </w:tr>
      <w:tr w:rsidR="00430093" w:rsidRPr="00430093" w:rsidTr="00430093">
        <w:trPr>
          <w:trHeight w:val="6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Mr.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Sergio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Zamudio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Business Development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8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www.sbeintl.com</w:t>
              </w:r>
            </w:hyperlink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EA356D" w:rsidP="00EA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SBE là một công ty quốc tế với hơn 15 năm thực hiện dịch vụ kiểm soát chất lượng  với hơn 10 văn phòng trên toàn thế giới và Châu Á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0903" w:rsidRPr="00430093" w:rsidRDefault="00EA356D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Gặp gỡ với các nhà máy giày để cung cấp dịch vụ kiểm tra và hậu cần.</w:t>
            </w:r>
          </w:p>
        </w:tc>
      </w:tr>
      <w:tr w:rsidR="00430093" w:rsidRPr="00430093" w:rsidTr="00430093">
        <w:trPr>
          <w:trHeight w:val="6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Mr.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Alvaro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Aguilar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Foplam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www.foplam.com</w:t>
              </w:r>
            </w:hyperlink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EA356D" w:rsidP="00EA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Chúng tôi là một công 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toàn cầu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của Mexico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với tầm nhìn kinh doanh chiến lược. Chúng tôi được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thành lập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từ một nhóm các chuyên gia chuyên môn và được đào tạo chuyên sâu trong các lĩnh vực: kinh doanh quốc tế, hậu cần và thị trường, chiến lược thương mại và đầu tư.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0903" w:rsidRPr="00430093" w:rsidRDefault="00EA356D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Gặp gỡ các nhà phân phối, nhà nhập khẩu, cửa hàng bán buôn, nhà bán lẻ, nhà đầu tư, cửa hàng / nền tảng thương mại điện tử, đối tác tiềm năng, nhà môi giới, kênh phân phối và đại lý trực tiếp - NGÀNH NÔNG NGHIỆP VÀ THỰC PHẨM</w:t>
            </w:r>
          </w:p>
        </w:tc>
      </w:tr>
      <w:tr w:rsidR="00430093" w:rsidRPr="00430093" w:rsidTr="00430093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Mr.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Arturo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Barajas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Winbridge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10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www.winbridge.mx</w:t>
              </w:r>
            </w:hyperlink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EA356D" w:rsidP="00EA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Winbridge Group là một công ty cổ phần,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có một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đội ngũ chuyên gia giỏi nhất trong lĩnh vực phát triển kinh doanh ở Mexico. Chúng tôi tập trung vào việc cung cấp chiến lược cho nhu cầu kinh doanh của bạn.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húng tôi và sự hiểu biết sâu sắc về các nhu cầu kinh doanh trong Mexico; xã hội, pháp lý và chính trị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để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cung cấp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dịch vụ tư vấn tốt nhất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cho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bạn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0903" w:rsidRPr="00430093" w:rsidRDefault="00EA356D" w:rsidP="00EA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Gặp gỡ các nhà phân phối, nhà nhập khẩu, cửa hàng bán buôn, nhà bán lẻ, nhà đầu tư, cửa hàng / nền tảng thương mại điện tử, đối tác tiềm năng, nhà môi giới, kênh phân phối và đại lý trực tiếp - NGÀNH NÔNG NGHIỆP VÀ THỰC PHẨM.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Gặp gỡ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các công ty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có nhu cầu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kinh doanh và đầu tư ở Mexico.</w:t>
            </w:r>
          </w:p>
        </w:tc>
      </w:tr>
      <w:tr w:rsidR="00430093" w:rsidRPr="00430093" w:rsidTr="00430093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Mr.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José Luis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Valencia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Director Operativo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903" w:rsidRPr="00430093" w:rsidRDefault="00970903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Proveraexport / COMCE Veracruz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11" w:history="1">
              <w:r w:rsidR="00430093" w:rsidRPr="0043009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</w:rPr>
                <w:t>www.proveraexport.com</w:t>
              </w:r>
            </w:hyperlink>
            <w:r w:rsidR="00430093" w:rsidRPr="004300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03" w:rsidRPr="00430093" w:rsidRDefault="00EA356D" w:rsidP="00EA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Proveraexport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cung cấp tư vấn kỹ thuật cho các hoạt động Xuất nhập khẩu.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0903" w:rsidRDefault="00494DCE" w:rsidP="00970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Gặp gỡ các nhà phân phối, nhà nhập khẩu, cửa hàng bán buôn, nhà bán lẻ, nhà đầu tư, cửa hàng / nền tảng thương mại điện tử, đối tác tiềm năng, nhà môi giới, kênh phân phối và đại lý trực tiếp - NGÀNH NÔNG NGHIỆP VÀ THỰC PHẨM. </w:t>
            </w:r>
            <w:bookmarkStart w:id="0" w:name="_GoBack"/>
            <w:bookmarkEnd w:id="0"/>
          </w:p>
          <w:p w:rsidR="00AF5CF0" w:rsidRPr="00430093" w:rsidRDefault="00EA356D" w:rsidP="00EA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Gặp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với các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công ty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logistics</w:t>
            </w:r>
            <w:r w:rsidR="00494DC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A356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để cung cấp dịch vụ</w:t>
            </w:r>
            <w:r w:rsidR="00AF5CF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partners to offer services.</w:t>
            </w:r>
          </w:p>
        </w:tc>
      </w:tr>
    </w:tbl>
    <w:p w:rsidR="007070F7" w:rsidRDefault="007070F7"/>
    <w:sectPr w:rsidR="007070F7" w:rsidSect="004300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03"/>
    <w:rsid w:val="00182A4A"/>
    <w:rsid w:val="00430093"/>
    <w:rsid w:val="00494DCE"/>
    <w:rsid w:val="007070F7"/>
    <w:rsid w:val="00970903"/>
    <w:rsid w:val="00AF5CF0"/>
    <w:rsid w:val="00D44D91"/>
    <w:rsid w:val="00E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7337-0878-4DE2-8621-31BCF5D0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int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derainternationa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ce.org.mx" TargetMode="External"/><Relationship Id="rId11" Type="http://schemas.openxmlformats.org/officeDocument/2006/relationships/hyperlink" Target="http://www.proveraexport.com" TargetMode="External"/><Relationship Id="rId5" Type="http://schemas.openxmlformats.org/officeDocument/2006/relationships/hyperlink" Target="http://www.comce.org.mx" TargetMode="External"/><Relationship Id="rId10" Type="http://schemas.openxmlformats.org/officeDocument/2006/relationships/hyperlink" Target="http://www.winbridge.mx" TargetMode="External"/><Relationship Id="rId4" Type="http://schemas.openxmlformats.org/officeDocument/2006/relationships/hyperlink" Target="http://www.comce.org.mx" TargetMode="External"/><Relationship Id="rId9" Type="http://schemas.openxmlformats.org/officeDocument/2006/relationships/hyperlink" Target="http://www.fopl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 Vietnam</dc:creator>
  <cp:keywords/>
  <dc:description/>
  <cp:lastModifiedBy>Pham Linh</cp:lastModifiedBy>
  <cp:revision>4</cp:revision>
  <dcterms:created xsi:type="dcterms:W3CDTF">2019-10-09T02:22:00Z</dcterms:created>
  <dcterms:modified xsi:type="dcterms:W3CDTF">2019-10-09T02:40:00Z</dcterms:modified>
</cp:coreProperties>
</file>